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64A68">
      <w:pPr>
        <w:pStyle w:val="4"/>
        <w:shd w:val="clear" w:color="auto" w:fill="FFFFFF"/>
        <w:spacing w:before="0" w:beforeAutospacing="0" w:after="0" w:afterAutospacing="0" w:line="450" w:lineRule="atLeast"/>
        <w:ind w:right="300"/>
        <w:jc w:val="center"/>
        <w:rPr>
          <w:rFonts w:ascii="Times New Roman" w:hAnsi="Times New Roman" w:eastAsia="黑体" w:cs="Times New Roman"/>
          <w:b/>
          <w:color w:val="222222"/>
          <w:sz w:val="36"/>
          <w:szCs w:val="36"/>
        </w:rPr>
      </w:pPr>
    </w:p>
    <w:p w14:paraId="4978BBA1">
      <w:pPr>
        <w:pStyle w:val="4"/>
        <w:shd w:val="clear" w:color="auto" w:fill="FFFFFF"/>
        <w:spacing w:before="0" w:beforeAutospacing="0" w:after="0" w:afterAutospacing="0" w:line="450" w:lineRule="atLeast"/>
        <w:ind w:right="300"/>
        <w:jc w:val="center"/>
        <w:rPr>
          <w:rFonts w:ascii="Times New Roman" w:hAnsi="Times New Roman" w:eastAsia="黑体" w:cs="Times New Roman"/>
          <w:b/>
          <w:color w:val="222222"/>
          <w:sz w:val="36"/>
          <w:szCs w:val="36"/>
        </w:rPr>
      </w:pPr>
    </w:p>
    <w:p w14:paraId="1B802612">
      <w:pPr>
        <w:pStyle w:val="4"/>
        <w:shd w:val="clear" w:color="auto" w:fill="FFFFFF"/>
        <w:spacing w:before="0" w:beforeAutospacing="0" w:after="0" w:afterAutospacing="0" w:line="450" w:lineRule="atLeast"/>
        <w:ind w:right="300"/>
        <w:jc w:val="center"/>
        <w:rPr>
          <w:rFonts w:ascii="Times New Roman" w:hAnsi="黑体" w:eastAsia="黑体" w:cs="Times New Roman"/>
          <w:b/>
          <w:color w:val="222222"/>
          <w:sz w:val="36"/>
          <w:szCs w:val="36"/>
        </w:rPr>
      </w:pPr>
      <w:r>
        <w:rPr>
          <w:rFonts w:hint="eastAsia" w:ascii="Times New Roman" w:hAnsi="Times New Roman" w:eastAsia="黑体" w:cs="Times New Roman"/>
          <w:b/>
          <w:color w:val="222222"/>
          <w:sz w:val="36"/>
          <w:szCs w:val="36"/>
          <w:lang w:eastAsia="zh-CN"/>
        </w:rPr>
        <w:t>2025</w:t>
      </w:r>
      <w:r>
        <w:rPr>
          <w:rFonts w:ascii="Times New Roman" w:hAnsi="黑体" w:eastAsia="黑体" w:cs="Times New Roman"/>
          <w:b/>
          <w:color w:val="222222"/>
          <w:sz w:val="36"/>
          <w:szCs w:val="36"/>
        </w:rPr>
        <w:t>年民办高等教育</w:t>
      </w:r>
      <w:r>
        <w:rPr>
          <w:rFonts w:hint="eastAsia" w:ascii="Times New Roman" w:hAnsi="黑体" w:eastAsia="黑体" w:cs="Times New Roman"/>
          <w:b/>
          <w:color w:val="222222"/>
          <w:sz w:val="36"/>
          <w:szCs w:val="36"/>
          <w:lang w:val="en-US" w:eastAsia="zh-CN"/>
        </w:rPr>
        <w:t>发展</w:t>
      </w:r>
      <w:r>
        <w:rPr>
          <w:rFonts w:ascii="Times New Roman" w:hAnsi="黑体" w:eastAsia="黑体" w:cs="Times New Roman"/>
          <w:b/>
          <w:color w:val="222222"/>
          <w:sz w:val="36"/>
          <w:szCs w:val="36"/>
        </w:rPr>
        <w:t>专项资金</w:t>
      </w:r>
    </w:p>
    <w:p w14:paraId="5744BF4E">
      <w:pPr>
        <w:pStyle w:val="4"/>
        <w:shd w:val="clear" w:color="auto" w:fill="FFFFFF"/>
        <w:spacing w:before="0" w:beforeAutospacing="0" w:after="0" w:afterAutospacing="0" w:line="450" w:lineRule="atLeast"/>
        <w:ind w:right="300"/>
        <w:jc w:val="center"/>
        <w:rPr>
          <w:rFonts w:ascii="Times New Roman" w:hAnsi="Times New Roman" w:eastAsia="黑体" w:cs="Times New Roman"/>
          <w:b/>
          <w:color w:val="222222"/>
          <w:sz w:val="36"/>
          <w:szCs w:val="36"/>
        </w:rPr>
      </w:pPr>
      <w:r>
        <w:rPr>
          <w:rFonts w:ascii="Times New Roman" w:hAnsi="黑体" w:eastAsia="黑体" w:cs="Times New Roman"/>
          <w:b/>
          <w:color w:val="222222"/>
          <w:sz w:val="36"/>
          <w:szCs w:val="36"/>
        </w:rPr>
        <w:t>政府购买服务合同书</w:t>
      </w:r>
    </w:p>
    <w:p w14:paraId="67B81E23">
      <w:pPr>
        <w:pStyle w:val="4"/>
        <w:shd w:val="clear" w:color="auto" w:fill="FFFFFF"/>
        <w:spacing w:before="0" w:beforeAutospacing="0" w:after="0" w:afterAutospacing="0" w:line="450" w:lineRule="atLeast"/>
        <w:ind w:right="300"/>
        <w:jc w:val="both"/>
        <w:rPr>
          <w:rFonts w:ascii="微软雅黑" w:hAnsi="微软雅黑" w:eastAsia="微软雅黑"/>
          <w:color w:val="222222"/>
        </w:rPr>
      </w:pPr>
    </w:p>
    <w:p w14:paraId="3261979C">
      <w:pPr>
        <w:pStyle w:val="4"/>
        <w:shd w:val="clear" w:color="auto" w:fill="FFFFFF"/>
        <w:spacing w:before="0" w:beforeAutospacing="0" w:after="0" w:afterAutospacing="0" w:line="450" w:lineRule="atLeast"/>
        <w:ind w:right="300"/>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甲方： 陕西省教育厅</w:t>
      </w:r>
    </w:p>
    <w:p w14:paraId="2C76E0E8">
      <w:pPr>
        <w:pStyle w:val="4"/>
        <w:shd w:val="clear" w:color="auto" w:fill="FFFFFF"/>
        <w:spacing w:before="0" w:beforeAutospacing="0" w:after="0" w:afterAutospacing="0" w:line="450" w:lineRule="atLeast"/>
        <w:ind w:right="300"/>
        <w:jc w:val="both"/>
        <w:rPr>
          <w:rFonts w:hint="default" w:ascii="仿宋_GB2312" w:hAnsi="仿宋_GB2312" w:eastAsia="仿宋_GB2312" w:cs="仿宋_GB2312"/>
          <w:color w:val="222222"/>
          <w:sz w:val="32"/>
          <w:szCs w:val="32"/>
          <w:lang w:val="en-US" w:eastAsia="zh-CN"/>
        </w:rPr>
      </w:pPr>
      <w:r>
        <w:rPr>
          <w:rFonts w:hint="eastAsia" w:ascii="仿宋_GB2312" w:hAnsi="仿宋_GB2312" w:eastAsia="仿宋_GB2312" w:cs="仿宋_GB2312"/>
          <w:color w:val="222222"/>
          <w:sz w:val="32"/>
          <w:szCs w:val="32"/>
        </w:rPr>
        <w:t xml:space="preserve">乙方： </w:t>
      </w:r>
      <w:r>
        <w:rPr>
          <w:rFonts w:hint="eastAsia" w:ascii="仿宋_GB2312" w:hAnsi="仿宋_GB2312" w:eastAsia="仿宋_GB2312" w:cs="仿宋_GB2312"/>
          <w:color w:val="222222"/>
          <w:sz w:val="32"/>
          <w:szCs w:val="32"/>
          <w:lang w:val="en-US" w:eastAsia="zh-CN"/>
        </w:rPr>
        <w:t>陕西国际商贸学院</w:t>
      </w:r>
    </w:p>
    <w:p w14:paraId="472FAE25">
      <w:pPr>
        <w:pStyle w:val="4"/>
        <w:shd w:val="clear" w:color="auto" w:fill="FFFFFF"/>
        <w:spacing w:before="0" w:beforeAutospacing="0" w:after="0" w:afterAutospacing="0" w:line="450" w:lineRule="atLeast"/>
        <w:ind w:right="300"/>
        <w:jc w:val="both"/>
        <w:rPr>
          <w:rFonts w:hint="eastAsia" w:ascii="仿宋_GB2312" w:hAnsi="仿宋_GB2312" w:eastAsia="仿宋_GB2312" w:cs="仿宋_GB2312"/>
          <w:color w:val="222222"/>
          <w:sz w:val="32"/>
          <w:szCs w:val="32"/>
          <w:lang w:eastAsia="zh-CN"/>
        </w:rPr>
      </w:pPr>
      <w:r>
        <w:rPr>
          <w:rFonts w:hint="eastAsia" w:ascii="仿宋_GB2312" w:hAnsi="仿宋_GB2312" w:eastAsia="仿宋_GB2312" w:cs="仿宋_GB2312"/>
          <w:color w:val="222222"/>
          <w:sz w:val="32"/>
          <w:szCs w:val="32"/>
        </w:rPr>
        <w:t>　　根据陕西省财政厅</w:t>
      </w:r>
      <w:r>
        <w:rPr>
          <w:rFonts w:hint="eastAsia" w:ascii="仿宋_GB2312" w:hAnsi="仿宋_GB2312" w:eastAsia="仿宋_GB2312" w:cs="仿宋_GB2312"/>
          <w:sz w:val="32"/>
          <w:szCs w:val="32"/>
        </w:rPr>
        <w:t>《关于做好陕西省事业单位政府购买服务改革工作的实施方案》（陕财办综〔2017〕9号）</w:t>
      </w:r>
      <w:r>
        <w:rPr>
          <w:rFonts w:hint="eastAsia" w:ascii="仿宋_GB2312" w:hAnsi="仿宋_GB2312" w:eastAsia="仿宋_GB2312" w:cs="仿宋_GB2312"/>
          <w:color w:val="222222"/>
          <w:sz w:val="32"/>
          <w:szCs w:val="32"/>
        </w:rPr>
        <w:t>等有关规定</w:t>
      </w:r>
      <w:r>
        <w:rPr>
          <w:rFonts w:hint="eastAsia" w:ascii="仿宋_GB2312" w:hAnsi="仿宋_GB2312" w:eastAsia="仿宋_GB2312" w:cs="仿宋_GB2312"/>
          <w:color w:val="222222"/>
          <w:sz w:val="32"/>
          <w:szCs w:val="32"/>
          <w:lang w:eastAsia="zh-CN"/>
        </w:rPr>
        <w:t>，</w:t>
      </w:r>
      <w:r>
        <w:rPr>
          <w:rFonts w:hint="eastAsia" w:ascii="仿宋_GB2312" w:hAnsi="仿宋_GB2312" w:eastAsia="仿宋_GB2312" w:cs="仿宋_GB2312"/>
          <w:color w:val="222222"/>
          <w:sz w:val="32"/>
          <w:szCs w:val="32"/>
        </w:rPr>
        <w:t>为保证所购的服务质量，明确双方的权利义务，甲乙双方在平等、自愿、协商一致的基础上，就有关事宜达成如下协议</w:t>
      </w:r>
      <w:r>
        <w:rPr>
          <w:rFonts w:hint="eastAsia" w:ascii="仿宋_GB2312" w:hAnsi="仿宋_GB2312" w:eastAsia="仿宋_GB2312" w:cs="仿宋_GB2312"/>
          <w:color w:val="222222"/>
          <w:sz w:val="32"/>
          <w:szCs w:val="32"/>
          <w:lang w:eastAsia="zh-CN"/>
        </w:rPr>
        <w:t>。</w:t>
      </w:r>
    </w:p>
    <w:p w14:paraId="5B26EADD">
      <w:pPr>
        <w:pStyle w:val="4"/>
        <w:shd w:val="clear" w:color="auto" w:fill="FFFFFF"/>
        <w:spacing w:before="0" w:beforeAutospacing="0" w:after="0" w:afterAutospacing="0" w:line="450" w:lineRule="atLeast"/>
        <w:ind w:right="300" w:firstLine="630"/>
        <w:jc w:val="both"/>
        <w:rPr>
          <w:rFonts w:ascii="黑体" w:hAnsi="黑体" w:eastAsia="黑体" w:cs="Times New Roman"/>
          <w:color w:val="222222"/>
          <w:sz w:val="32"/>
          <w:szCs w:val="32"/>
        </w:rPr>
      </w:pPr>
      <w:r>
        <w:rPr>
          <w:rFonts w:ascii="黑体" w:hAnsi="黑体" w:eastAsia="黑体" w:cs="Times New Roman"/>
          <w:color w:val="222222"/>
          <w:sz w:val="32"/>
          <w:szCs w:val="32"/>
        </w:rPr>
        <w:t>第一条：项目</w:t>
      </w:r>
      <w:r>
        <w:rPr>
          <w:rFonts w:hint="eastAsia" w:ascii="黑体" w:hAnsi="黑体" w:eastAsia="黑体" w:cs="Times New Roman"/>
          <w:color w:val="222222"/>
          <w:sz w:val="32"/>
          <w:szCs w:val="32"/>
        </w:rPr>
        <w:t>建设范围</w:t>
      </w:r>
    </w:p>
    <w:p w14:paraId="76F26FDD">
      <w:pPr>
        <w:widowControl/>
        <w:shd w:val="clear" w:color="auto" w:fill="FFFFFF"/>
        <w:spacing w:line="360" w:lineRule="auto"/>
        <w:ind w:firstLine="640" w:firstLineChars="200"/>
        <w:contextualSpacing/>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（一）一流学院和一流专业建设。主要用于民办高校培育或创建一流学院和一流专业所需的高层次人才引进和培养、师资队伍培训、课程教材建设、实验实训基地建设、科学研究以及教学科研改革项目等。</w:t>
      </w:r>
    </w:p>
    <w:p w14:paraId="0F941E34">
      <w:pPr>
        <w:widowControl/>
        <w:shd w:val="clear" w:color="auto" w:fill="FFFFFF"/>
        <w:spacing w:line="360" w:lineRule="auto"/>
        <w:ind w:firstLine="640" w:firstLineChars="200"/>
        <w:contextualSpacing/>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（二）创新创业教育。主要用于民办高校深化创新创业教育改革等各类项目。</w:t>
      </w:r>
    </w:p>
    <w:p w14:paraId="3B652853">
      <w:pPr>
        <w:widowControl/>
        <w:shd w:val="clear" w:color="auto" w:fill="FFFFFF"/>
        <w:spacing w:line="360" w:lineRule="auto"/>
        <w:ind w:firstLine="640" w:firstLineChars="200"/>
        <w:contextualSpacing/>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（三）应用型转型发展。主要用于民办高校服务地方经济社会发展、</w:t>
      </w:r>
      <w:r>
        <w:rPr>
          <w:rFonts w:hint="eastAsia" w:ascii="仿宋_GB2312" w:hAnsi="仿宋_GB2312" w:eastAsia="仿宋_GB2312" w:cs="仿宋_GB2312"/>
          <w:color w:val="000000"/>
          <w:kern w:val="0"/>
          <w:sz w:val="32"/>
          <w:szCs w:val="32"/>
          <w:lang w:val="en-US" w:eastAsia="zh-CN"/>
        </w:rPr>
        <w:t>开展各项教育事业活动、</w:t>
      </w:r>
      <w:r>
        <w:rPr>
          <w:rFonts w:hint="eastAsia" w:ascii="仿宋_GB2312" w:hAnsi="仿宋_GB2312" w:eastAsia="仿宋_GB2312" w:cs="仿宋_GB2312"/>
          <w:color w:val="000000"/>
          <w:kern w:val="0"/>
          <w:sz w:val="32"/>
          <w:szCs w:val="32"/>
        </w:rPr>
        <w:t>科研成果转化、产业孵化等项目。</w:t>
      </w:r>
    </w:p>
    <w:p w14:paraId="15D79FCF">
      <w:pPr>
        <w:widowControl/>
        <w:shd w:val="clear" w:color="auto" w:fill="FFFFFF"/>
        <w:spacing w:line="360" w:lineRule="auto"/>
        <w:ind w:firstLine="640" w:firstLineChars="200"/>
        <w:contextualSpacing/>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（四）综合管理改革。主要用于民促法实施后民办高校管理改革等各项工作。</w:t>
      </w:r>
    </w:p>
    <w:p w14:paraId="2D12C3B9">
      <w:pPr>
        <w:widowControl/>
        <w:shd w:val="clear" w:color="auto" w:fill="FFFFFF"/>
        <w:spacing w:line="360" w:lineRule="auto"/>
        <w:ind w:firstLine="640" w:firstLineChars="200"/>
        <w:contextualSpacing/>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（五）党建建设。主要用于民办高校党建建设等各项工作的开展。</w:t>
      </w:r>
    </w:p>
    <w:p w14:paraId="657A5AAE">
      <w:pPr>
        <w:pStyle w:val="4"/>
        <w:shd w:val="clear" w:color="auto" w:fill="FFFFFF"/>
        <w:spacing w:before="0" w:beforeAutospacing="0" w:after="0" w:afterAutospacing="0" w:line="450" w:lineRule="atLeast"/>
        <w:ind w:right="300" w:firstLine="630"/>
        <w:jc w:val="both"/>
        <w:rPr>
          <w:rFonts w:ascii="黑体" w:hAnsi="黑体" w:eastAsia="黑体" w:cs="Times New Roman"/>
          <w:b/>
          <w:color w:val="222222"/>
          <w:sz w:val="32"/>
          <w:szCs w:val="32"/>
        </w:rPr>
      </w:pPr>
      <w:r>
        <w:rPr>
          <w:rFonts w:ascii="黑体" w:hAnsi="黑体" w:eastAsia="黑体" w:cs="Times New Roman"/>
          <w:b/>
          <w:color w:val="222222"/>
          <w:sz w:val="32"/>
          <w:szCs w:val="32"/>
        </w:rPr>
        <w:t>第二条：项目</w:t>
      </w:r>
      <w:r>
        <w:rPr>
          <w:rFonts w:hint="eastAsia" w:ascii="黑体" w:hAnsi="黑体" w:eastAsia="黑体" w:cs="Times New Roman"/>
          <w:b/>
          <w:color w:val="222222"/>
          <w:sz w:val="32"/>
          <w:szCs w:val="32"/>
        </w:rPr>
        <w:t>绩效目标</w:t>
      </w:r>
    </w:p>
    <w:p w14:paraId="24073F04">
      <w:pPr>
        <w:pStyle w:val="4"/>
        <w:shd w:val="clear" w:color="auto" w:fill="FFFFFF"/>
        <w:spacing w:before="0" w:beforeAutospacing="0" w:after="0" w:afterAutospacing="0" w:line="450" w:lineRule="atLeast"/>
        <w:ind w:right="300" w:firstLine="63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2025年民办高等教育发展专项资金项目绩效目标。</w:t>
      </w:r>
    </w:p>
    <w:p w14:paraId="51374D54">
      <w:pPr>
        <w:pStyle w:val="4"/>
        <w:shd w:val="clear" w:color="auto" w:fill="FFFFFF"/>
        <w:spacing w:before="0" w:beforeAutospacing="0" w:after="0" w:afterAutospacing="0" w:line="450" w:lineRule="atLeast"/>
        <w:ind w:right="300" w:firstLine="630"/>
        <w:jc w:val="both"/>
        <w:rPr>
          <w:rFonts w:ascii="黑体" w:hAnsi="黑体" w:eastAsia="黑体" w:cs="Times New Roman"/>
          <w:color w:val="222222"/>
          <w:sz w:val="32"/>
          <w:szCs w:val="32"/>
        </w:rPr>
      </w:pPr>
      <w:r>
        <w:rPr>
          <w:rFonts w:ascii="黑体" w:hAnsi="黑体" w:eastAsia="黑体" w:cs="Times New Roman"/>
          <w:color w:val="222222"/>
          <w:sz w:val="32"/>
          <w:szCs w:val="32"/>
        </w:rPr>
        <w:t>第三条：项目</w:t>
      </w:r>
      <w:r>
        <w:rPr>
          <w:rFonts w:hint="eastAsia" w:ascii="黑体" w:hAnsi="黑体" w:eastAsia="黑体" w:cs="Times New Roman"/>
          <w:color w:val="222222"/>
          <w:sz w:val="32"/>
          <w:szCs w:val="32"/>
        </w:rPr>
        <w:t>资金</w:t>
      </w:r>
      <w:r>
        <w:rPr>
          <w:rFonts w:ascii="黑体" w:hAnsi="黑体" w:eastAsia="黑体" w:cs="Times New Roman"/>
          <w:color w:val="222222"/>
          <w:sz w:val="32"/>
          <w:szCs w:val="32"/>
        </w:rPr>
        <w:t>使用</w:t>
      </w:r>
      <w:r>
        <w:rPr>
          <w:rFonts w:hint="eastAsia" w:ascii="黑体" w:hAnsi="黑体" w:eastAsia="黑体" w:cs="Times New Roman"/>
          <w:color w:val="222222"/>
          <w:sz w:val="32"/>
          <w:szCs w:val="32"/>
        </w:rPr>
        <w:t>管理</w:t>
      </w:r>
      <w:r>
        <w:rPr>
          <w:rFonts w:ascii="黑体" w:hAnsi="黑体" w:eastAsia="黑体" w:cs="Times New Roman"/>
          <w:color w:val="222222"/>
          <w:sz w:val="32"/>
          <w:szCs w:val="32"/>
        </w:rPr>
        <w:t>原则</w:t>
      </w:r>
    </w:p>
    <w:p w14:paraId="0951EFAD">
      <w:pPr>
        <w:spacing w:line="360" w:lineRule="auto"/>
        <w:ind w:firstLine="678" w:firstLineChars="212"/>
        <w:rPr>
          <w:rFonts w:ascii="Times New Roman" w:hAnsi="Times New Roman" w:eastAsia="仿宋" w:cs="Times New Roman"/>
          <w:color w:val="000000"/>
          <w:kern w:val="0"/>
          <w:sz w:val="32"/>
          <w:szCs w:val="32"/>
        </w:rPr>
      </w:pPr>
      <w:r>
        <w:rPr>
          <w:rFonts w:ascii="Times New Roman" w:hAnsi="仿宋" w:eastAsia="仿宋" w:cs="Times New Roman"/>
          <w:color w:val="000000"/>
          <w:kern w:val="0"/>
          <w:sz w:val="32"/>
          <w:szCs w:val="32"/>
        </w:rPr>
        <w:t>根据省财政厅、省教育厅印发的《</w:t>
      </w:r>
      <w:r>
        <w:rPr>
          <w:rFonts w:ascii="Times New Roman" w:hAnsi="仿宋" w:eastAsia="仿宋" w:cs="Times New Roman"/>
          <w:sz w:val="32"/>
          <w:szCs w:val="32"/>
        </w:rPr>
        <w:t>关于加强陕西省民办高校财务管理工作的实施意见》（陕财办教〔</w:t>
      </w:r>
      <w:r>
        <w:rPr>
          <w:rFonts w:ascii="Times New Roman" w:hAnsi="Times New Roman" w:eastAsia="仿宋" w:cs="Times New Roman"/>
          <w:sz w:val="32"/>
          <w:szCs w:val="32"/>
        </w:rPr>
        <w:t>2012</w:t>
      </w:r>
      <w:r>
        <w:rPr>
          <w:rFonts w:ascii="Times New Roman" w:hAnsi="仿宋" w:eastAsia="仿宋" w:cs="Times New Roman"/>
          <w:sz w:val="32"/>
          <w:szCs w:val="32"/>
        </w:rPr>
        <w:t>〕</w:t>
      </w:r>
      <w:r>
        <w:rPr>
          <w:rFonts w:ascii="Times New Roman" w:hAnsi="Times New Roman" w:eastAsia="仿宋" w:cs="Times New Roman"/>
          <w:sz w:val="32"/>
          <w:szCs w:val="32"/>
        </w:rPr>
        <w:t>124</w:t>
      </w:r>
      <w:r>
        <w:rPr>
          <w:rFonts w:ascii="Times New Roman" w:hAnsi="仿宋" w:eastAsia="仿宋" w:cs="Times New Roman"/>
          <w:sz w:val="32"/>
          <w:szCs w:val="32"/>
        </w:rPr>
        <w:t>号）中有关规定，资金实行专户管理，</w:t>
      </w:r>
      <w:r>
        <w:rPr>
          <w:rFonts w:hint="eastAsia" w:ascii="Times New Roman" w:hAnsi="仿宋" w:eastAsia="仿宋" w:cs="Times New Roman"/>
          <w:sz w:val="32"/>
          <w:szCs w:val="32"/>
        </w:rPr>
        <w:t>并</w:t>
      </w:r>
      <w:r>
        <w:rPr>
          <w:rFonts w:ascii="Times New Roman" w:hAnsi="仿宋" w:eastAsia="仿宋" w:cs="Times New Roman"/>
          <w:color w:val="000000"/>
          <w:kern w:val="0"/>
          <w:sz w:val="32"/>
          <w:szCs w:val="32"/>
        </w:rPr>
        <w:t>按项目对资金进行分项明细核算，并按</w:t>
      </w:r>
      <w:r>
        <w:rPr>
          <w:rFonts w:hint="eastAsia" w:ascii="Times New Roman" w:hAnsi="仿宋" w:eastAsia="仿宋" w:cs="Times New Roman"/>
          <w:color w:val="000000"/>
          <w:kern w:val="0"/>
          <w:sz w:val="32"/>
          <w:szCs w:val="32"/>
        </w:rPr>
        <w:t>本</w:t>
      </w:r>
      <w:r>
        <w:rPr>
          <w:rFonts w:ascii="Times New Roman" w:hAnsi="仿宋" w:eastAsia="仿宋" w:cs="Times New Roman"/>
          <w:color w:val="000000"/>
          <w:kern w:val="0"/>
          <w:sz w:val="32"/>
          <w:szCs w:val="32"/>
        </w:rPr>
        <w:t>合同</w:t>
      </w:r>
      <w:r>
        <w:rPr>
          <w:rFonts w:hint="eastAsia" w:ascii="Times New Roman" w:hAnsi="仿宋" w:eastAsia="仿宋" w:cs="Times New Roman"/>
          <w:color w:val="000000"/>
          <w:kern w:val="0"/>
          <w:sz w:val="32"/>
          <w:szCs w:val="32"/>
        </w:rPr>
        <w:t>的</w:t>
      </w:r>
      <w:r>
        <w:rPr>
          <w:rFonts w:ascii="Times New Roman" w:hAnsi="仿宋" w:eastAsia="仿宋" w:cs="Times New Roman"/>
          <w:color w:val="000000"/>
          <w:kern w:val="0"/>
          <w:sz w:val="32"/>
          <w:szCs w:val="32"/>
        </w:rPr>
        <w:t>约定使用专项资金，</w:t>
      </w:r>
      <w:r>
        <w:rPr>
          <w:rFonts w:hint="eastAsia" w:ascii="Times New Roman" w:hAnsi="仿宋" w:eastAsia="仿宋" w:cs="Times New Roman"/>
          <w:color w:val="000000"/>
          <w:kern w:val="0"/>
          <w:sz w:val="32"/>
          <w:szCs w:val="32"/>
        </w:rPr>
        <w:t>不得</w:t>
      </w:r>
      <w:r>
        <w:rPr>
          <w:rFonts w:ascii="Times New Roman" w:hAnsi="仿宋" w:eastAsia="仿宋"/>
          <w:color w:val="000000"/>
          <w:kern w:val="0"/>
          <w:sz w:val="32"/>
          <w:szCs w:val="32"/>
        </w:rPr>
        <w:t>擅自改变资金</w:t>
      </w:r>
      <w:r>
        <w:rPr>
          <w:rFonts w:hint="eastAsia" w:ascii="Times New Roman" w:hAnsi="仿宋" w:eastAsia="仿宋"/>
          <w:color w:val="000000"/>
          <w:kern w:val="0"/>
          <w:sz w:val="32"/>
          <w:szCs w:val="32"/>
        </w:rPr>
        <w:t>使用方向</w:t>
      </w:r>
      <w:r>
        <w:rPr>
          <w:rFonts w:ascii="Times New Roman" w:hAnsi="仿宋" w:eastAsia="仿宋"/>
          <w:color w:val="000000"/>
          <w:kern w:val="0"/>
          <w:sz w:val="32"/>
          <w:szCs w:val="32"/>
        </w:rPr>
        <w:t>或截留、</w:t>
      </w:r>
      <w:r>
        <w:rPr>
          <w:rFonts w:hint="eastAsia" w:ascii="Times New Roman" w:hAnsi="仿宋" w:eastAsia="仿宋"/>
          <w:color w:val="000000"/>
          <w:kern w:val="0"/>
          <w:sz w:val="32"/>
          <w:szCs w:val="32"/>
        </w:rPr>
        <w:t>挤占、</w:t>
      </w:r>
      <w:r>
        <w:rPr>
          <w:rFonts w:ascii="Times New Roman" w:hAnsi="仿宋" w:eastAsia="仿宋"/>
          <w:color w:val="000000"/>
          <w:kern w:val="0"/>
          <w:sz w:val="32"/>
          <w:szCs w:val="32"/>
        </w:rPr>
        <w:t>挪用资金</w:t>
      </w:r>
      <w:r>
        <w:rPr>
          <w:rFonts w:hint="eastAsia" w:ascii="Times New Roman" w:hAnsi="仿宋" w:eastAsia="仿宋"/>
          <w:color w:val="000000"/>
          <w:kern w:val="0"/>
          <w:sz w:val="32"/>
          <w:szCs w:val="32"/>
        </w:rPr>
        <w:t>。</w:t>
      </w:r>
      <w:r>
        <w:rPr>
          <w:rFonts w:ascii="Times New Roman" w:hAnsi="Times New Roman" w:eastAsia="仿宋" w:cs="Times New Roman"/>
          <w:color w:val="000000"/>
          <w:kern w:val="0"/>
          <w:sz w:val="32"/>
          <w:szCs w:val="32"/>
        </w:rPr>
        <w:t xml:space="preserve"> </w:t>
      </w:r>
    </w:p>
    <w:p w14:paraId="665D06F7">
      <w:pPr>
        <w:pStyle w:val="4"/>
        <w:shd w:val="clear" w:color="auto" w:fill="FFFFFF"/>
        <w:spacing w:before="0" w:beforeAutospacing="0" w:after="0" w:afterAutospacing="0" w:line="450" w:lineRule="atLeast"/>
        <w:ind w:right="300"/>
        <w:jc w:val="both"/>
        <w:rPr>
          <w:rFonts w:ascii="黑体" w:hAnsi="黑体" w:eastAsia="黑体" w:cs="Times New Roman"/>
          <w:color w:val="222222"/>
          <w:sz w:val="32"/>
          <w:szCs w:val="32"/>
        </w:rPr>
      </w:pPr>
      <w:r>
        <w:rPr>
          <w:rFonts w:ascii="Times New Roman" w:hAnsi="仿宋" w:eastAsia="仿宋" w:cs="Times New Roman"/>
          <w:color w:val="222222"/>
          <w:sz w:val="32"/>
          <w:szCs w:val="32"/>
        </w:rPr>
        <w:t>　</w:t>
      </w:r>
      <w:r>
        <w:rPr>
          <w:rFonts w:ascii="黑体" w:hAnsi="黑体" w:eastAsia="黑体" w:cs="Times New Roman"/>
          <w:color w:val="222222"/>
          <w:sz w:val="32"/>
          <w:szCs w:val="32"/>
        </w:rPr>
        <w:t>　</w:t>
      </w:r>
      <w:r>
        <w:rPr>
          <w:rFonts w:hint="eastAsia" w:ascii="黑体" w:hAnsi="黑体" w:eastAsia="黑体" w:cs="Times New Roman"/>
          <w:color w:val="222222"/>
          <w:sz w:val="32"/>
          <w:szCs w:val="32"/>
        </w:rPr>
        <w:t>第四条：项目资金</w:t>
      </w:r>
      <w:r>
        <w:rPr>
          <w:rFonts w:ascii="黑体" w:hAnsi="黑体" w:eastAsia="黑体" w:cs="Times New Roman"/>
          <w:color w:val="222222"/>
          <w:sz w:val="32"/>
          <w:szCs w:val="32"/>
        </w:rPr>
        <w:t>支付方式</w:t>
      </w:r>
    </w:p>
    <w:p w14:paraId="2091F5FC">
      <w:pPr>
        <w:pStyle w:val="4"/>
        <w:shd w:val="clear" w:color="auto" w:fill="FFFFFF"/>
        <w:spacing w:before="0" w:beforeAutospacing="0" w:after="0" w:afterAutospacing="0" w:line="450" w:lineRule="atLeast"/>
        <w:ind w:right="300"/>
        <w:jc w:val="both"/>
        <w:rPr>
          <w:rFonts w:hint="default" w:ascii="仿宋_GB2312" w:hAnsi="仿宋_GB2312" w:eastAsia="仿宋_GB2312" w:cs="仿宋_GB2312"/>
          <w:color w:val="222222"/>
          <w:sz w:val="32"/>
          <w:szCs w:val="32"/>
          <w:lang w:val="en-US"/>
        </w:rPr>
      </w:pPr>
      <w:r>
        <w:rPr>
          <w:rFonts w:ascii="Times New Roman" w:hAnsi="仿宋" w:eastAsia="仿宋" w:cs="Times New Roman"/>
          <w:color w:val="222222"/>
          <w:sz w:val="32"/>
          <w:szCs w:val="32"/>
        </w:rPr>
        <w:t>　</w:t>
      </w:r>
      <w:r>
        <w:rPr>
          <w:rFonts w:hint="eastAsia" w:ascii="仿宋_GB2312" w:hAnsi="仿宋_GB2312" w:eastAsia="仿宋_GB2312" w:cs="仿宋_GB2312"/>
          <w:color w:val="222222"/>
          <w:sz w:val="32"/>
          <w:szCs w:val="32"/>
        </w:rPr>
        <w:t>　（一）合同购买服务价款总额为：</w:t>
      </w:r>
      <w:r>
        <w:rPr>
          <w:rFonts w:hint="eastAsia" w:ascii="仿宋_GB2312" w:hAnsi="仿宋_GB2312" w:eastAsia="仿宋_GB2312" w:cs="仿宋_GB2312"/>
          <w:color w:val="222222"/>
          <w:sz w:val="32"/>
          <w:szCs w:val="32"/>
          <w:lang w:val="en-US" w:eastAsia="zh-CN"/>
        </w:rPr>
        <w:t>壹仟捌佰陆拾叁</w:t>
      </w:r>
      <w:bookmarkStart w:id="0" w:name="_GoBack"/>
      <w:bookmarkEnd w:id="0"/>
      <w:r>
        <w:rPr>
          <w:rFonts w:hint="eastAsia" w:ascii="仿宋_GB2312" w:hAnsi="仿宋_GB2312" w:eastAsia="仿宋_GB2312" w:cs="仿宋_GB2312"/>
          <w:color w:val="222222"/>
          <w:sz w:val="32"/>
          <w:szCs w:val="32"/>
          <w:lang w:val="en-US" w:eastAsia="zh-CN"/>
        </w:rPr>
        <w:t>万元整</w:t>
      </w:r>
    </w:p>
    <w:p w14:paraId="5ED56A6A">
      <w:pPr>
        <w:pStyle w:val="4"/>
        <w:shd w:val="clear" w:color="auto" w:fill="FFFFFF"/>
        <w:spacing w:before="0" w:beforeAutospacing="0" w:after="0" w:afterAutospacing="0" w:line="450" w:lineRule="atLeast"/>
        <w:ind w:right="300"/>
        <w:jc w:val="both"/>
        <w:rPr>
          <w:rFonts w:ascii="Times New Roman" w:hAnsi="Times New Roman" w:eastAsia="仿宋" w:cs="Times New Roman"/>
          <w:color w:val="222222"/>
          <w:sz w:val="32"/>
          <w:szCs w:val="32"/>
        </w:rPr>
      </w:pPr>
      <w:r>
        <w:rPr>
          <w:rFonts w:hint="eastAsia" w:ascii="仿宋_GB2312" w:hAnsi="仿宋_GB2312" w:eastAsia="仿宋_GB2312" w:cs="仿宋_GB2312"/>
          <w:color w:val="222222"/>
          <w:sz w:val="32"/>
          <w:szCs w:val="32"/>
        </w:rPr>
        <w:t>　　（二）支付方式：甲方在</w:t>
      </w:r>
      <w:r>
        <w:rPr>
          <w:rFonts w:hint="eastAsia" w:ascii="仿宋_GB2312" w:hAnsi="仿宋_GB2312" w:eastAsia="仿宋_GB2312" w:cs="仿宋_GB2312"/>
          <w:color w:val="222222"/>
          <w:sz w:val="32"/>
          <w:szCs w:val="32"/>
          <w:lang w:eastAsia="zh-CN"/>
        </w:rPr>
        <w:t>2025</w:t>
      </w:r>
      <w:r>
        <w:rPr>
          <w:rFonts w:hint="eastAsia" w:ascii="仿宋_GB2312" w:hAnsi="仿宋_GB2312" w:eastAsia="仿宋_GB2312" w:cs="仿宋_GB2312"/>
          <w:color w:val="222222"/>
          <w:sz w:val="32"/>
          <w:szCs w:val="32"/>
        </w:rPr>
        <w:t>年民办高等教育</w:t>
      </w:r>
      <w:r>
        <w:rPr>
          <w:rFonts w:hint="eastAsia" w:ascii="仿宋_GB2312" w:hAnsi="仿宋_GB2312" w:eastAsia="仿宋_GB2312" w:cs="仿宋_GB2312"/>
          <w:color w:val="222222"/>
          <w:sz w:val="32"/>
          <w:szCs w:val="32"/>
          <w:lang w:val="en-US" w:eastAsia="zh-CN"/>
        </w:rPr>
        <w:t>发展</w:t>
      </w:r>
      <w:r>
        <w:rPr>
          <w:rFonts w:hint="eastAsia" w:ascii="仿宋_GB2312" w:hAnsi="仿宋_GB2312" w:eastAsia="仿宋_GB2312" w:cs="仿宋_GB2312"/>
          <w:color w:val="222222"/>
          <w:sz w:val="32"/>
          <w:szCs w:val="32"/>
        </w:rPr>
        <w:t>专项资金预算下达后，可一次性地将项目资金拨付到乙方的财政资金专户。因乙方未开设财政资金专户或专户出现问题，造成甲方无法正常拨付项目资金，责任由乙方承担。</w:t>
      </w:r>
    </w:p>
    <w:p w14:paraId="471313CA">
      <w:pPr>
        <w:pStyle w:val="4"/>
        <w:shd w:val="clear" w:color="auto" w:fill="FFFFFF"/>
        <w:spacing w:before="0" w:beforeAutospacing="0" w:after="0" w:afterAutospacing="0" w:line="450" w:lineRule="atLeast"/>
        <w:ind w:right="300"/>
        <w:jc w:val="both"/>
        <w:rPr>
          <w:rFonts w:ascii="黑体" w:hAnsi="黑体" w:eastAsia="黑体" w:cs="Times New Roman"/>
          <w:color w:val="222222"/>
          <w:sz w:val="32"/>
          <w:szCs w:val="32"/>
        </w:rPr>
      </w:pPr>
      <w:r>
        <w:rPr>
          <w:rFonts w:ascii="Times New Roman" w:hAnsi="仿宋" w:eastAsia="仿宋" w:cs="Times New Roman"/>
          <w:color w:val="222222"/>
          <w:sz w:val="32"/>
          <w:szCs w:val="32"/>
        </w:rPr>
        <w:t>　　</w:t>
      </w:r>
      <w:r>
        <w:rPr>
          <w:rFonts w:ascii="黑体" w:hAnsi="黑体" w:eastAsia="黑体" w:cs="Times New Roman"/>
          <w:color w:val="222222"/>
          <w:sz w:val="32"/>
          <w:szCs w:val="32"/>
        </w:rPr>
        <w:t>第</w:t>
      </w:r>
      <w:r>
        <w:rPr>
          <w:rFonts w:hint="eastAsia" w:ascii="黑体" w:hAnsi="黑体" w:eastAsia="黑体" w:cs="Times New Roman"/>
          <w:color w:val="222222"/>
          <w:sz w:val="32"/>
          <w:szCs w:val="32"/>
        </w:rPr>
        <w:t>五</w:t>
      </w:r>
      <w:r>
        <w:rPr>
          <w:rFonts w:ascii="黑体" w:hAnsi="黑体" w:eastAsia="黑体" w:cs="Times New Roman"/>
          <w:color w:val="222222"/>
          <w:sz w:val="32"/>
          <w:szCs w:val="32"/>
        </w:rPr>
        <w:t>条：合同期限与终止</w:t>
      </w:r>
    </w:p>
    <w:p w14:paraId="024DA42B">
      <w:pPr>
        <w:pStyle w:val="4"/>
        <w:shd w:val="clear" w:color="auto" w:fill="FFFFFF"/>
        <w:spacing w:before="0" w:beforeAutospacing="0" w:after="0" w:afterAutospacing="0" w:line="450" w:lineRule="atLeast"/>
        <w:ind w:right="3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222222"/>
          <w:sz w:val="32"/>
          <w:szCs w:val="32"/>
        </w:rPr>
        <w:t>　 （一）合同期限：</w:t>
      </w:r>
      <w:r>
        <w:rPr>
          <w:rFonts w:hint="eastAsia" w:ascii="仿宋_GB2312" w:hAnsi="仿宋_GB2312" w:eastAsia="仿宋_GB2312" w:cs="仿宋_GB2312"/>
          <w:color w:val="auto"/>
          <w:sz w:val="32"/>
          <w:szCs w:val="32"/>
        </w:rPr>
        <w:t>自</w:t>
      </w:r>
      <w:r>
        <w:rPr>
          <w:rFonts w:hint="eastAsia" w:ascii="仿宋_GB2312" w:hAnsi="仿宋_GB2312" w:eastAsia="仿宋_GB2312" w:cs="仿宋_GB2312"/>
          <w:color w:val="auto"/>
          <w:sz w:val="32"/>
          <w:szCs w:val="32"/>
          <w:lang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日起至</w:t>
      </w:r>
      <w:r>
        <w:rPr>
          <w:rFonts w:hint="eastAsia" w:ascii="仿宋_GB2312" w:hAnsi="仿宋_GB2312" w:eastAsia="仿宋_GB2312" w:cs="仿宋_GB2312"/>
          <w:color w:val="auto"/>
          <w:sz w:val="32"/>
          <w:szCs w:val="32"/>
          <w:lang w:eastAsia="zh-CN"/>
        </w:rPr>
        <w:t>2025</w:t>
      </w:r>
      <w:r>
        <w:rPr>
          <w:rFonts w:hint="eastAsia" w:ascii="仿宋_GB2312" w:hAnsi="仿宋_GB2312" w:eastAsia="仿宋_GB2312" w:cs="仿宋_GB2312"/>
          <w:color w:val="auto"/>
          <w:sz w:val="32"/>
          <w:szCs w:val="32"/>
        </w:rPr>
        <w:t>年12月31日止。</w:t>
      </w:r>
    </w:p>
    <w:p w14:paraId="5D6809F5">
      <w:pPr>
        <w:pStyle w:val="4"/>
        <w:shd w:val="clear" w:color="auto" w:fill="FFFFFF"/>
        <w:spacing w:before="0" w:beforeAutospacing="0" w:after="0" w:afterAutospacing="0" w:line="450" w:lineRule="atLeast"/>
        <w:ind w:right="300"/>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　 （二）合同终止</w:t>
      </w:r>
    </w:p>
    <w:p w14:paraId="74368689">
      <w:pPr>
        <w:pStyle w:val="4"/>
        <w:shd w:val="clear" w:color="auto" w:fill="FFFFFF"/>
        <w:spacing w:before="0" w:beforeAutospacing="0" w:after="0" w:afterAutospacing="0" w:line="450" w:lineRule="atLeast"/>
        <w:ind w:right="300"/>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　　1、合同期满，双方未续签的；</w:t>
      </w:r>
    </w:p>
    <w:p w14:paraId="2304C6B3">
      <w:pPr>
        <w:pStyle w:val="4"/>
        <w:shd w:val="clear" w:color="auto" w:fill="FFFFFF"/>
        <w:spacing w:before="0" w:beforeAutospacing="0" w:after="0" w:afterAutospacing="0" w:line="450" w:lineRule="atLeast"/>
        <w:ind w:right="300"/>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　　2、乙方服务能力丧失，致使服务无法正常进行的；</w:t>
      </w:r>
    </w:p>
    <w:p w14:paraId="7963F298">
      <w:pPr>
        <w:pStyle w:val="4"/>
        <w:shd w:val="clear" w:color="auto" w:fill="FFFFFF"/>
        <w:spacing w:before="0" w:beforeAutospacing="0" w:after="0" w:afterAutospacing="0" w:line="450" w:lineRule="atLeast"/>
        <w:ind w:right="300"/>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　　3、在履行合同过程中，发现乙方不符合省财政厅</w:t>
      </w:r>
      <w:r>
        <w:rPr>
          <w:rFonts w:hint="eastAsia" w:ascii="仿宋_GB2312" w:hAnsi="仿宋_GB2312" w:eastAsia="仿宋_GB2312" w:cs="仿宋_GB2312"/>
          <w:sz w:val="32"/>
          <w:szCs w:val="32"/>
        </w:rPr>
        <w:t>《关于做好陕西省事业单位政府购买服务改革工作的实施方案》（陕财办综〔2017〕9号）</w:t>
      </w:r>
      <w:r>
        <w:rPr>
          <w:rFonts w:hint="eastAsia" w:ascii="仿宋_GB2312" w:hAnsi="仿宋_GB2312" w:eastAsia="仿宋_GB2312" w:cs="仿宋_GB2312"/>
          <w:color w:val="222222"/>
          <w:sz w:val="32"/>
          <w:szCs w:val="32"/>
        </w:rPr>
        <w:t>中规定的服务供应方应具备的条件，造成合同无法履行的。</w:t>
      </w:r>
    </w:p>
    <w:p w14:paraId="6D3BEEC8">
      <w:pPr>
        <w:pStyle w:val="4"/>
        <w:shd w:val="clear" w:color="auto" w:fill="FFFFFF"/>
        <w:spacing w:before="0" w:beforeAutospacing="0" w:after="0" w:afterAutospacing="0" w:line="450" w:lineRule="atLeast"/>
        <w:ind w:right="300"/>
        <w:jc w:val="both"/>
        <w:rPr>
          <w:rFonts w:ascii="黑体" w:hAnsi="黑体" w:eastAsia="黑体" w:cs="Times New Roman"/>
          <w:color w:val="222222"/>
          <w:sz w:val="32"/>
          <w:szCs w:val="32"/>
        </w:rPr>
      </w:pPr>
      <w:r>
        <w:rPr>
          <w:rFonts w:ascii="Times New Roman" w:hAnsi="仿宋" w:eastAsia="仿宋" w:cs="Times New Roman"/>
          <w:color w:val="222222"/>
          <w:sz w:val="32"/>
          <w:szCs w:val="32"/>
        </w:rPr>
        <w:t>　</w:t>
      </w:r>
      <w:r>
        <w:rPr>
          <w:rFonts w:ascii="黑体" w:hAnsi="黑体" w:eastAsia="黑体" w:cs="Times New Roman"/>
          <w:color w:val="222222"/>
          <w:sz w:val="32"/>
          <w:szCs w:val="32"/>
        </w:rPr>
        <w:t>　第</w:t>
      </w:r>
      <w:r>
        <w:rPr>
          <w:rFonts w:hint="eastAsia" w:ascii="黑体" w:hAnsi="黑体" w:eastAsia="黑体" w:cs="Times New Roman"/>
          <w:color w:val="222222"/>
          <w:sz w:val="32"/>
          <w:szCs w:val="32"/>
        </w:rPr>
        <w:t>六</w:t>
      </w:r>
      <w:r>
        <w:rPr>
          <w:rFonts w:ascii="黑体" w:hAnsi="黑体" w:eastAsia="黑体" w:cs="Times New Roman"/>
          <w:color w:val="222222"/>
          <w:sz w:val="32"/>
          <w:szCs w:val="32"/>
        </w:rPr>
        <w:t>条：项目绩效评估</w:t>
      </w:r>
    </w:p>
    <w:p w14:paraId="1572ADDA">
      <w:pPr>
        <w:pStyle w:val="4"/>
        <w:shd w:val="clear" w:color="auto" w:fill="FFFFFF"/>
        <w:spacing w:before="0" w:beforeAutospacing="0" w:after="0" w:afterAutospacing="0" w:line="450" w:lineRule="atLeast"/>
        <w:ind w:right="300"/>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　　乙方承接服务项目后，由甲方对项目实施情况进行全程跟踪和监督。合同执行完成后，甲方会同相关部门和社会评估机构参照绩效目标，对项目的工作绩效、服务对象受益情况、公众满意度等进行绩效评估，并对资金使用情况进行专项审计。</w:t>
      </w:r>
    </w:p>
    <w:p w14:paraId="2025962C">
      <w:pPr>
        <w:pStyle w:val="4"/>
        <w:shd w:val="clear" w:color="auto" w:fill="FFFFFF"/>
        <w:spacing w:before="0" w:beforeAutospacing="0" w:after="0" w:afterAutospacing="0" w:line="450" w:lineRule="atLeast"/>
        <w:ind w:right="300"/>
        <w:jc w:val="both"/>
        <w:rPr>
          <w:rFonts w:ascii="黑体" w:hAnsi="黑体" w:eastAsia="黑体" w:cs="Times New Roman"/>
          <w:color w:val="222222"/>
          <w:sz w:val="32"/>
          <w:szCs w:val="32"/>
        </w:rPr>
      </w:pPr>
      <w:r>
        <w:rPr>
          <w:rFonts w:ascii="Times New Roman" w:hAnsi="仿宋" w:eastAsia="仿宋" w:cs="Times New Roman"/>
          <w:color w:val="222222"/>
          <w:sz w:val="32"/>
          <w:szCs w:val="32"/>
        </w:rPr>
        <w:t>　　</w:t>
      </w:r>
      <w:r>
        <w:rPr>
          <w:rFonts w:ascii="黑体" w:hAnsi="黑体" w:eastAsia="黑体" w:cs="Times New Roman"/>
          <w:color w:val="222222"/>
          <w:sz w:val="32"/>
          <w:szCs w:val="32"/>
        </w:rPr>
        <w:t>第</w:t>
      </w:r>
      <w:r>
        <w:rPr>
          <w:rFonts w:hint="eastAsia" w:ascii="黑体" w:hAnsi="黑体" w:eastAsia="黑体" w:cs="Times New Roman"/>
          <w:color w:val="222222"/>
          <w:sz w:val="32"/>
          <w:szCs w:val="32"/>
          <w:lang w:val="en-US" w:eastAsia="zh-CN"/>
        </w:rPr>
        <w:t>七</w:t>
      </w:r>
      <w:r>
        <w:rPr>
          <w:rFonts w:ascii="黑体" w:hAnsi="黑体" w:eastAsia="黑体" w:cs="Times New Roman"/>
          <w:color w:val="222222"/>
          <w:sz w:val="32"/>
          <w:szCs w:val="32"/>
        </w:rPr>
        <w:t>条：双方权利和义务</w:t>
      </w:r>
    </w:p>
    <w:p w14:paraId="79DBCB5E">
      <w:pPr>
        <w:pStyle w:val="4"/>
        <w:shd w:val="clear" w:color="auto" w:fill="FFFFFF"/>
        <w:spacing w:before="0" w:beforeAutospacing="0" w:after="0" w:afterAutospacing="0" w:line="450" w:lineRule="atLeast"/>
        <w:ind w:right="300"/>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　　（一） 甲方权利、义务</w:t>
      </w:r>
    </w:p>
    <w:p w14:paraId="12970B99">
      <w:pPr>
        <w:pStyle w:val="4"/>
        <w:shd w:val="clear" w:color="auto" w:fill="FFFFFF"/>
        <w:spacing w:before="0" w:beforeAutospacing="0" w:after="0" w:afterAutospacing="0" w:line="450" w:lineRule="atLeast"/>
        <w:ind w:right="300"/>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　　1、项目为合同期内实施，甲方可以随时了解掌握乙方项目实施工作进度及资金使用情况，并根据工作计划随时对乙方资金的使用情况进行专项检查和审计。</w:t>
      </w:r>
    </w:p>
    <w:p w14:paraId="6C161938">
      <w:pPr>
        <w:widowControl/>
        <w:adjustRightInd w:val="0"/>
        <w:spacing w:line="360" w:lineRule="auto"/>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color w:val="222222"/>
          <w:sz w:val="32"/>
          <w:szCs w:val="32"/>
        </w:rPr>
        <w:t>2、监督乙方</w:t>
      </w:r>
      <w:r>
        <w:rPr>
          <w:rFonts w:hint="eastAsia" w:ascii="仿宋_GB2312" w:hAnsi="仿宋_GB2312" w:eastAsia="仿宋_GB2312" w:cs="仿宋_GB2312"/>
          <w:sz w:val="32"/>
          <w:szCs w:val="32"/>
        </w:rPr>
        <w:t>强化财政专项资金预算执行约束，督促乙方加快财政专项资金支出进度。对超过合同期未支付的资金，甲方可无条件全部收回。</w:t>
      </w:r>
    </w:p>
    <w:p w14:paraId="785DEFC3">
      <w:pPr>
        <w:spacing w:line="360" w:lineRule="auto"/>
        <w:ind w:firstLine="640" w:firstLineChars="200"/>
        <w:contextualSpacing/>
        <w:rPr>
          <w:rFonts w:hint="eastAsia" w:ascii="仿宋_GB2312" w:hAnsi="仿宋_GB2312" w:eastAsia="仿宋_GB2312" w:cs="仿宋_GB2312"/>
          <w:color w:val="2B2B2B"/>
          <w:kern w:val="0"/>
          <w:sz w:val="32"/>
          <w:szCs w:val="32"/>
        </w:rPr>
      </w:pPr>
      <w:r>
        <w:rPr>
          <w:rFonts w:hint="eastAsia" w:ascii="仿宋_GB2312" w:hAnsi="仿宋_GB2312" w:eastAsia="仿宋_GB2312" w:cs="仿宋_GB2312"/>
          <w:color w:val="222222"/>
          <w:sz w:val="32"/>
          <w:szCs w:val="32"/>
        </w:rPr>
        <w:t>3、可以监督乙方不得将资金用于</w:t>
      </w:r>
      <w:r>
        <w:rPr>
          <w:rFonts w:hint="eastAsia" w:ascii="仿宋_GB2312" w:hAnsi="仿宋_GB2312" w:eastAsia="仿宋_GB2312" w:cs="仿宋_GB2312"/>
          <w:color w:val="2B2B2B"/>
          <w:kern w:val="0"/>
          <w:sz w:val="32"/>
          <w:szCs w:val="32"/>
        </w:rPr>
        <w:t>教职工的基本工资、绩效工资、津补贴或其他人员福利经费的发放；不得用于引进高层次人才的安家费、搬迁费、探亲费、住房（租房）补贴、车辆补贴、子女教育费等；不得用于偿还银行贷款和其他债务；不得用于基本建设投资；不得用于支付罚款、捐赠、赞助、对外投资；不得用于与项目无关的日常公用经费开支等支出。</w:t>
      </w:r>
      <w:r>
        <w:rPr>
          <w:rFonts w:hint="eastAsia" w:ascii="仿宋_GB2312" w:hAnsi="仿宋_GB2312" w:eastAsia="仿宋_GB2312" w:cs="仿宋_GB2312"/>
          <w:color w:val="000000"/>
          <w:kern w:val="0"/>
          <w:sz w:val="32"/>
          <w:szCs w:val="32"/>
        </w:rPr>
        <w:t>对擅自改变资金方向或截留、挪用资金的，可相应地扣减直至追回全部资金，并按有关规定追究有关负责人的责任。</w:t>
      </w:r>
    </w:p>
    <w:p w14:paraId="7B1A11AD">
      <w:pPr>
        <w:spacing w:line="360" w:lineRule="auto"/>
        <w:ind w:firstLine="640" w:firstLineChars="200"/>
        <w:contextualSpacing/>
        <w:jc w:val="left"/>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4、组织、监督乙方将</w:t>
      </w:r>
      <w:r>
        <w:rPr>
          <w:rFonts w:hint="eastAsia" w:ascii="仿宋_GB2312" w:hAnsi="仿宋_GB2312" w:eastAsia="仿宋_GB2312" w:cs="仿宋_GB2312"/>
          <w:snapToGrid w:val="0"/>
          <w:sz w:val="32"/>
          <w:szCs w:val="32"/>
        </w:rPr>
        <w:t>专项资金项目、预算和</w:t>
      </w:r>
      <w:r>
        <w:rPr>
          <w:rFonts w:hint="eastAsia" w:ascii="仿宋_GB2312" w:hAnsi="仿宋_GB2312" w:eastAsia="仿宋_GB2312" w:cs="仿宋_GB2312"/>
          <w:sz w:val="32"/>
          <w:szCs w:val="32"/>
        </w:rPr>
        <w:t>绩效目标在本合同签订的15个工作日内，通过乙方网站或其他渠道，向社会公开。</w:t>
      </w:r>
      <w:r>
        <w:rPr>
          <w:rFonts w:hint="eastAsia" w:ascii="仿宋_GB2312" w:hAnsi="仿宋_GB2312" w:eastAsia="仿宋_GB2312" w:cs="仿宋_GB2312"/>
          <w:color w:val="222222"/>
          <w:sz w:val="32"/>
          <w:szCs w:val="32"/>
        </w:rPr>
        <w:t>合同执行完成后，组织、监督乙方将</w:t>
      </w:r>
      <w:r>
        <w:rPr>
          <w:rFonts w:hint="eastAsia" w:ascii="仿宋_GB2312" w:hAnsi="仿宋_GB2312" w:eastAsia="仿宋_GB2312" w:cs="仿宋_GB2312"/>
          <w:color w:val="000000"/>
          <w:kern w:val="0"/>
          <w:sz w:val="32"/>
          <w:szCs w:val="32"/>
        </w:rPr>
        <w:t>专项资金预算使用情况和绩效评估结果将向社会公开。</w:t>
      </w:r>
    </w:p>
    <w:p w14:paraId="50BA7F7D">
      <w:pPr>
        <w:pStyle w:val="4"/>
        <w:shd w:val="clear" w:color="auto" w:fill="FFFFFF"/>
        <w:spacing w:before="0" w:beforeAutospacing="0" w:after="0" w:afterAutospacing="0" w:line="450" w:lineRule="atLeast"/>
        <w:ind w:right="300"/>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　　（二） 乙方权利、义务</w:t>
      </w:r>
    </w:p>
    <w:p w14:paraId="1DB0FACF">
      <w:pPr>
        <w:pStyle w:val="4"/>
        <w:shd w:val="clear" w:color="auto" w:fill="FFFFFF"/>
        <w:spacing w:before="0" w:beforeAutospacing="0" w:after="0" w:afterAutospacing="0" w:line="450" w:lineRule="atLeast"/>
        <w:ind w:right="300"/>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　　1</w:t>
      </w:r>
      <w:r>
        <w:rPr>
          <w:rFonts w:hint="eastAsia" w:ascii="仿宋_GB2312" w:hAnsi="仿宋_GB2312" w:eastAsia="仿宋_GB2312" w:cs="仿宋_GB2312"/>
          <w:color w:val="222222"/>
          <w:sz w:val="32"/>
          <w:szCs w:val="32"/>
          <w:lang w:eastAsia="zh-CN"/>
        </w:rPr>
        <w:t>、</w:t>
      </w:r>
      <w:r>
        <w:rPr>
          <w:rFonts w:hint="eastAsia" w:ascii="仿宋_GB2312" w:hAnsi="仿宋_GB2312" w:eastAsia="仿宋_GB2312" w:cs="仿宋_GB2312"/>
          <w:color w:val="222222"/>
          <w:sz w:val="32"/>
          <w:szCs w:val="32"/>
        </w:rPr>
        <w:t>乙方可要求甲方按本合同的规定按时足额拨付项目资金。</w:t>
      </w:r>
    </w:p>
    <w:p w14:paraId="0A7E8EFF">
      <w:pPr>
        <w:pStyle w:val="4"/>
        <w:shd w:val="clear" w:color="auto" w:fill="FFFFFF"/>
        <w:spacing w:before="0" w:beforeAutospacing="0" w:after="0" w:afterAutospacing="0" w:line="450" w:lineRule="atLeast"/>
        <w:ind w:right="300" w:firstLine="160" w:firstLineChars="50"/>
        <w:jc w:val="both"/>
        <w:rPr>
          <w:rFonts w:ascii="Times New Roman" w:hAnsi="Times New Roman" w:eastAsia="仿宋" w:cs="Times New Roman"/>
          <w:color w:val="222222"/>
          <w:sz w:val="32"/>
          <w:szCs w:val="32"/>
        </w:rPr>
      </w:pPr>
      <w:r>
        <w:rPr>
          <w:rFonts w:hint="eastAsia" w:ascii="仿宋_GB2312" w:hAnsi="仿宋_GB2312" w:eastAsia="仿宋_GB2312" w:cs="仿宋_GB2312"/>
          <w:color w:val="222222"/>
          <w:sz w:val="32"/>
          <w:szCs w:val="32"/>
        </w:rPr>
        <w:t>　2、乙方在履行合同过程中，不得将服务项目委托给第三人，应按本合同如实报告项目进展情况，按时、按标准完成项目任务。如乙方未能在合同期内完成全部项目的服务内容，合同结束后，应将相应资金返还给甲方。</w:t>
      </w:r>
    </w:p>
    <w:p w14:paraId="7C4B0C81">
      <w:pPr>
        <w:pStyle w:val="4"/>
        <w:shd w:val="clear" w:color="auto" w:fill="FFFFFF"/>
        <w:spacing w:before="0" w:beforeAutospacing="0" w:after="0" w:afterAutospacing="0" w:line="450" w:lineRule="atLeast"/>
        <w:ind w:right="300"/>
        <w:jc w:val="both"/>
        <w:rPr>
          <w:rFonts w:ascii="黑体" w:hAnsi="黑体" w:eastAsia="黑体" w:cs="Times New Roman"/>
          <w:color w:val="222222"/>
          <w:sz w:val="32"/>
          <w:szCs w:val="32"/>
        </w:rPr>
      </w:pPr>
      <w:r>
        <w:rPr>
          <w:rFonts w:ascii="Times New Roman" w:hAnsi="仿宋" w:eastAsia="仿宋" w:cs="Times New Roman"/>
          <w:color w:val="222222"/>
          <w:sz w:val="32"/>
          <w:szCs w:val="32"/>
        </w:rPr>
        <w:t>　</w:t>
      </w:r>
      <w:r>
        <w:rPr>
          <w:rFonts w:ascii="黑体" w:hAnsi="黑体" w:eastAsia="黑体" w:cs="Times New Roman"/>
          <w:color w:val="222222"/>
          <w:sz w:val="32"/>
          <w:szCs w:val="32"/>
        </w:rPr>
        <w:t>　第</w:t>
      </w:r>
      <w:r>
        <w:rPr>
          <w:rFonts w:hint="eastAsia" w:ascii="黑体" w:hAnsi="黑体" w:eastAsia="黑体" w:cs="Times New Roman"/>
          <w:color w:val="222222"/>
          <w:sz w:val="32"/>
          <w:szCs w:val="32"/>
          <w:lang w:val="en-US" w:eastAsia="zh-CN"/>
        </w:rPr>
        <w:t>八</w:t>
      </w:r>
      <w:r>
        <w:rPr>
          <w:rFonts w:ascii="黑体" w:hAnsi="黑体" w:eastAsia="黑体" w:cs="Times New Roman"/>
          <w:color w:val="222222"/>
          <w:sz w:val="32"/>
          <w:szCs w:val="32"/>
        </w:rPr>
        <w:t>条：在合同履行过程中，双方因违约或重大过失造成对方经济损失的应当赔偿。</w:t>
      </w:r>
    </w:p>
    <w:p w14:paraId="196B6218">
      <w:pPr>
        <w:pStyle w:val="4"/>
        <w:shd w:val="clear" w:color="auto" w:fill="FFFFFF"/>
        <w:spacing w:before="0" w:beforeAutospacing="0" w:after="0" w:afterAutospacing="0" w:line="450" w:lineRule="atLeast"/>
        <w:ind w:right="300"/>
        <w:jc w:val="both"/>
        <w:rPr>
          <w:rFonts w:ascii="黑体" w:hAnsi="黑体" w:eastAsia="黑体" w:cs="Times New Roman"/>
          <w:color w:val="222222"/>
          <w:sz w:val="32"/>
          <w:szCs w:val="32"/>
        </w:rPr>
      </w:pPr>
      <w:r>
        <w:rPr>
          <w:rFonts w:ascii="Times New Roman" w:hAnsi="仿宋" w:eastAsia="仿宋" w:cs="Times New Roman"/>
          <w:color w:val="222222"/>
          <w:sz w:val="32"/>
          <w:szCs w:val="32"/>
        </w:rPr>
        <w:t>　　</w:t>
      </w:r>
      <w:r>
        <w:rPr>
          <w:rFonts w:ascii="黑体" w:hAnsi="黑体" w:eastAsia="黑体" w:cs="Times New Roman"/>
          <w:color w:val="222222"/>
          <w:sz w:val="32"/>
          <w:szCs w:val="32"/>
        </w:rPr>
        <w:t>第</w:t>
      </w:r>
      <w:r>
        <w:rPr>
          <w:rFonts w:hint="eastAsia" w:ascii="黑体" w:hAnsi="黑体" w:eastAsia="黑体" w:cs="Times New Roman"/>
          <w:color w:val="222222"/>
          <w:sz w:val="32"/>
          <w:szCs w:val="32"/>
          <w:lang w:val="en-US" w:eastAsia="zh-CN"/>
        </w:rPr>
        <w:t>九</w:t>
      </w:r>
      <w:r>
        <w:rPr>
          <w:rFonts w:ascii="黑体" w:hAnsi="黑体" w:eastAsia="黑体" w:cs="Times New Roman"/>
          <w:color w:val="222222"/>
          <w:sz w:val="32"/>
          <w:szCs w:val="32"/>
        </w:rPr>
        <w:t>条：本合同在履行过程中发生争议，由甲、乙方协商解决，协商不成的，可以向有管辖权的人民法院提起诉讼。</w:t>
      </w:r>
    </w:p>
    <w:p w14:paraId="07D1EBF0">
      <w:pPr>
        <w:pStyle w:val="4"/>
        <w:shd w:val="clear" w:color="auto" w:fill="FFFFFF"/>
        <w:spacing w:before="0" w:beforeAutospacing="0" w:after="0" w:afterAutospacing="0" w:line="450" w:lineRule="atLeast"/>
        <w:ind w:right="300"/>
        <w:jc w:val="both"/>
        <w:rPr>
          <w:rFonts w:ascii="黑体" w:hAnsi="黑体" w:eastAsia="黑体" w:cs="Times New Roman"/>
          <w:color w:val="222222"/>
          <w:sz w:val="32"/>
          <w:szCs w:val="32"/>
        </w:rPr>
      </w:pPr>
      <w:r>
        <w:rPr>
          <w:rFonts w:ascii="Times New Roman" w:hAnsi="仿宋" w:eastAsia="仿宋" w:cs="Times New Roman"/>
          <w:color w:val="222222"/>
          <w:sz w:val="32"/>
          <w:szCs w:val="32"/>
        </w:rPr>
        <w:t>　　</w:t>
      </w:r>
      <w:r>
        <w:rPr>
          <w:rFonts w:ascii="黑体" w:hAnsi="黑体" w:eastAsia="黑体" w:cs="Times New Roman"/>
          <w:color w:val="222222"/>
          <w:sz w:val="32"/>
          <w:szCs w:val="32"/>
        </w:rPr>
        <w:t>第</w:t>
      </w:r>
      <w:r>
        <w:rPr>
          <w:rFonts w:hint="eastAsia" w:ascii="黑体" w:hAnsi="黑体" w:eastAsia="黑体" w:cs="Times New Roman"/>
          <w:color w:val="222222"/>
          <w:sz w:val="32"/>
          <w:szCs w:val="32"/>
          <w:lang w:val="en-US" w:eastAsia="zh-CN"/>
        </w:rPr>
        <w:t>十</w:t>
      </w:r>
      <w:r>
        <w:rPr>
          <w:rFonts w:ascii="黑体" w:hAnsi="黑体" w:eastAsia="黑体" w:cs="Times New Roman"/>
          <w:color w:val="222222"/>
          <w:sz w:val="32"/>
          <w:szCs w:val="32"/>
        </w:rPr>
        <w:t>条：本协议一式</w:t>
      </w:r>
      <w:r>
        <w:rPr>
          <w:rFonts w:hint="eastAsia" w:ascii="黑体" w:hAnsi="黑体" w:eastAsia="黑体" w:cs="Times New Roman"/>
          <w:color w:val="222222"/>
          <w:sz w:val="32"/>
          <w:szCs w:val="32"/>
        </w:rPr>
        <w:t>叁</w:t>
      </w:r>
      <w:r>
        <w:rPr>
          <w:rFonts w:ascii="黑体" w:hAnsi="黑体" w:eastAsia="黑体" w:cs="Times New Roman"/>
          <w:color w:val="222222"/>
          <w:sz w:val="32"/>
          <w:szCs w:val="32"/>
        </w:rPr>
        <w:t>份，甲方、乙方、</w:t>
      </w:r>
      <w:r>
        <w:rPr>
          <w:rFonts w:hint="eastAsia" w:ascii="黑体" w:hAnsi="黑体" w:eastAsia="黑体" w:cs="Times New Roman"/>
          <w:color w:val="222222"/>
          <w:sz w:val="32"/>
          <w:szCs w:val="32"/>
        </w:rPr>
        <w:t>省财政厅</w:t>
      </w:r>
      <w:r>
        <w:rPr>
          <w:rFonts w:ascii="黑体" w:hAnsi="黑体" w:eastAsia="黑体" w:cs="Times New Roman"/>
          <w:color w:val="222222"/>
          <w:sz w:val="32"/>
          <w:szCs w:val="32"/>
        </w:rPr>
        <w:t>各执一份，经甲、乙方法定代表人签章之日起生效。</w:t>
      </w:r>
    </w:p>
    <w:p w14:paraId="228B697C">
      <w:pPr>
        <w:pStyle w:val="4"/>
        <w:shd w:val="clear" w:color="auto" w:fill="FFFFFF"/>
        <w:spacing w:before="0" w:beforeAutospacing="0" w:after="0" w:afterAutospacing="0" w:line="450" w:lineRule="atLeast"/>
        <w:ind w:right="300" w:firstLine="630"/>
        <w:jc w:val="both"/>
        <w:rPr>
          <w:rFonts w:hint="eastAsia" w:ascii="仿宋_GB2312" w:hAnsi="仿宋_GB2312" w:eastAsia="仿宋_GB2312" w:cs="仿宋_GB2312"/>
          <w:color w:val="222222"/>
          <w:sz w:val="32"/>
          <w:szCs w:val="32"/>
        </w:rPr>
      </w:pPr>
    </w:p>
    <w:p w14:paraId="3B876930">
      <w:pPr>
        <w:pStyle w:val="4"/>
        <w:shd w:val="clear" w:color="auto" w:fill="FFFFFF"/>
        <w:spacing w:before="0" w:beforeAutospacing="0" w:after="0" w:afterAutospacing="0" w:line="450" w:lineRule="atLeast"/>
        <w:ind w:right="300" w:firstLine="630"/>
        <w:jc w:val="both"/>
        <w:rPr>
          <w:rFonts w:hint="eastAsia" w:ascii="仿宋_GB2312" w:hAnsi="仿宋_GB2312" w:eastAsia="仿宋_GB2312" w:cs="仿宋_GB2312"/>
          <w:color w:val="222222"/>
          <w:sz w:val="32"/>
          <w:szCs w:val="32"/>
        </w:rPr>
      </w:pPr>
    </w:p>
    <w:p w14:paraId="1E09A05B">
      <w:pPr>
        <w:pStyle w:val="4"/>
        <w:shd w:val="clear" w:color="auto" w:fill="FFFFFF"/>
        <w:spacing w:before="0" w:beforeAutospacing="0" w:after="0" w:afterAutospacing="0" w:line="450" w:lineRule="atLeast"/>
        <w:ind w:right="300" w:firstLine="630"/>
        <w:jc w:val="both"/>
        <w:rPr>
          <w:rFonts w:hint="eastAsia" w:ascii="仿宋_GB2312" w:hAnsi="仿宋_GB2312" w:eastAsia="仿宋_GB2312" w:cs="仿宋_GB2312"/>
          <w:color w:val="222222"/>
          <w:sz w:val="32"/>
          <w:szCs w:val="32"/>
        </w:rPr>
      </w:pPr>
    </w:p>
    <w:p w14:paraId="524D90E3">
      <w:pPr>
        <w:pStyle w:val="4"/>
        <w:shd w:val="clear" w:color="auto" w:fill="FFFFFF"/>
        <w:spacing w:before="0" w:beforeAutospacing="0" w:after="0" w:afterAutospacing="0" w:line="450" w:lineRule="atLeast"/>
        <w:ind w:right="300" w:firstLine="630"/>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甲方（公章）            乙方（公章）</w:t>
      </w:r>
    </w:p>
    <w:p w14:paraId="0EC3C1E3">
      <w:pPr>
        <w:pStyle w:val="4"/>
        <w:shd w:val="clear" w:color="auto" w:fill="FFFFFF"/>
        <w:spacing w:before="0" w:beforeAutospacing="0" w:after="0" w:afterAutospacing="0" w:line="450" w:lineRule="atLeast"/>
        <w:ind w:left="2240" w:right="300" w:hanging="2240" w:hangingChars="700"/>
        <w:jc w:val="both"/>
        <w:rPr>
          <w:rFonts w:hint="default" w:ascii="仿宋_GB2312" w:hAnsi="仿宋_GB2312" w:eastAsia="仿宋_GB2312" w:cs="仿宋_GB2312"/>
          <w:color w:val="222222"/>
          <w:sz w:val="32"/>
          <w:szCs w:val="32"/>
          <w:lang w:val="en-US" w:eastAsia="zh-CN"/>
        </w:rPr>
      </w:pPr>
      <w:r>
        <w:rPr>
          <w:rFonts w:hint="eastAsia" w:ascii="仿宋_GB2312" w:hAnsi="仿宋_GB2312" w:eastAsia="仿宋_GB2312" w:cs="仿宋_GB2312"/>
          <w:color w:val="222222"/>
          <w:sz w:val="32"/>
          <w:szCs w:val="32"/>
        </w:rPr>
        <w:t xml:space="preserve">　　单位名称：             </w:t>
      </w:r>
      <w:r>
        <w:rPr>
          <w:rFonts w:hint="eastAsia" w:ascii="仿宋_GB2312" w:hAnsi="仿宋_GB2312" w:eastAsia="仿宋_GB2312" w:cs="仿宋_GB2312"/>
          <w:color w:val="222222"/>
          <w:sz w:val="32"/>
          <w:szCs w:val="32"/>
          <w:lang w:val="en-US" w:eastAsia="zh-CN"/>
        </w:rPr>
        <w:t xml:space="preserve"> </w:t>
      </w:r>
      <w:r>
        <w:rPr>
          <w:rFonts w:hint="eastAsia" w:ascii="仿宋_GB2312" w:hAnsi="仿宋_GB2312" w:eastAsia="仿宋_GB2312" w:cs="仿宋_GB2312"/>
          <w:color w:val="222222"/>
          <w:sz w:val="32"/>
          <w:szCs w:val="32"/>
        </w:rPr>
        <w:t>单位名称：</w:t>
      </w:r>
      <w:r>
        <w:rPr>
          <w:rFonts w:hint="eastAsia" w:ascii="仿宋_GB2312" w:hAnsi="仿宋_GB2312" w:eastAsia="仿宋_GB2312" w:cs="仿宋_GB2312"/>
          <w:color w:val="222222"/>
          <w:sz w:val="32"/>
          <w:szCs w:val="32"/>
          <w:lang w:val="en-US" w:eastAsia="zh-CN"/>
        </w:rPr>
        <w:t>陕西国际商贸学院</w:t>
      </w:r>
    </w:p>
    <w:p w14:paraId="5D911901">
      <w:pPr>
        <w:pStyle w:val="4"/>
        <w:shd w:val="clear" w:color="auto" w:fill="FFFFFF"/>
        <w:spacing w:before="0" w:beforeAutospacing="0" w:after="0" w:afterAutospacing="0" w:line="450" w:lineRule="atLeast"/>
        <w:ind w:right="300"/>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　　法定代表人：            法定代表人：</w:t>
      </w:r>
    </w:p>
    <w:p w14:paraId="169831D4">
      <w:pPr>
        <w:pStyle w:val="4"/>
        <w:shd w:val="clear" w:color="auto" w:fill="FFFFFF"/>
        <w:spacing w:before="0" w:beforeAutospacing="0" w:after="0" w:afterAutospacing="0" w:line="450" w:lineRule="atLeast"/>
        <w:ind w:right="300"/>
        <w:jc w:val="both"/>
        <w:rPr>
          <w:rFonts w:hint="default" w:ascii="仿宋_GB2312" w:hAnsi="仿宋_GB2312" w:eastAsia="仿宋_GB2312" w:cs="仿宋_GB2312"/>
          <w:color w:val="222222"/>
          <w:sz w:val="32"/>
          <w:szCs w:val="32"/>
          <w:lang w:val="en-US" w:eastAsia="zh-CN"/>
        </w:rPr>
      </w:pPr>
      <w:r>
        <w:rPr>
          <w:rFonts w:hint="eastAsia" w:ascii="仿宋_GB2312" w:hAnsi="仿宋_GB2312" w:eastAsia="仿宋_GB2312" w:cs="仿宋_GB2312"/>
          <w:color w:val="222222"/>
          <w:sz w:val="32"/>
          <w:szCs w:val="32"/>
        </w:rPr>
        <w:t>　　地址：                  地址：</w:t>
      </w:r>
    </w:p>
    <w:p w14:paraId="7E01044D">
      <w:pPr>
        <w:pStyle w:val="4"/>
        <w:shd w:val="clear" w:color="auto" w:fill="FFFFFF"/>
        <w:spacing w:before="0" w:beforeAutospacing="0" w:after="0" w:afterAutospacing="0" w:line="450" w:lineRule="atLeast"/>
        <w:ind w:right="300"/>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　　电话：                  电话：</w:t>
      </w:r>
    </w:p>
    <w:p w14:paraId="0D03D711">
      <w:pPr>
        <w:pStyle w:val="4"/>
        <w:shd w:val="clear" w:color="auto" w:fill="FFFFFF"/>
        <w:spacing w:before="0" w:beforeAutospacing="0" w:after="0" w:afterAutospacing="0" w:line="450" w:lineRule="atLeast"/>
        <w:ind w:right="300" w:firstLine="630"/>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传真：                  传真：　　</w:t>
      </w:r>
    </w:p>
    <w:p w14:paraId="53CC7D3E">
      <w:pPr>
        <w:pStyle w:val="4"/>
        <w:shd w:val="clear" w:color="auto" w:fill="FFFFFF"/>
        <w:spacing w:before="0" w:beforeAutospacing="0" w:after="0" w:afterAutospacing="0" w:line="450" w:lineRule="atLeast"/>
        <w:ind w:right="300" w:firstLine="630"/>
        <w:jc w:val="both"/>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签约日期： 年 月 日      签约日期： 年 月 日</w:t>
      </w:r>
    </w:p>
    <w:sectPr>
      <w:pgSz w:w="11906" w:h="16838"/>
      <w:pgMar w:top="2098"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k2Njk1YjI2NzY4YTNmMTkwZWNjYThkZmNjM2QxNzQifQ=="/>
  </w:docVars>
  <w:rsids>
    <w:rsidRoot w:val="00EE0580"/>
    <w:rsid w:val="000F1208"/>
    <w:rsid w:val="000F5A25"/>
    <w:rsid w:val="00251BDB"/>
    <w:rsid w:val="002B7166"/>
    <w:rsid w:val="006433D9"/>
    <w:rsid w:val="00647D09"/>
    <w:rsid w:val="00861A04"/>
    <w:rsid w:val="008E27E5"/>
    <w:rsid w:val="00A0026B"/>
    <w:rsid w:val="00ED5DE2"/>
    <w:rsid w:val="00EE0580"/>
    <w:rsid w:val="00F273B5"/>
    <w:rsid w:val="053B5C02"/>
    <w:rsid w:val="06765EB3"/>
    <w:rsid w:val="083C2C25"/>
    <w:rsid w:val="1D62701E"/>
    <w:rsid w:val="25246974"/>
    <w:rsid w:val="25F16A15"/>
    <w:rsid w:val="2DB5353F"/>
    <w:rsid w:val="479F2398"/>
    <w:rsid w:val="48270761"/>
    <w:rsid w:val="48E50783"/>
    <w:rsid w:val="4F4F0B87"/>
    <w:rsid w:val="52E11BD2"/>
    <w:rsid w:val="55263FB6"/>
    <w:rsid w:val="56235501"/>
    <w:rsid w:val="569D4F51"/>
    <w:rsid w:val="56D76C77"/>
    <w:rsid w:val="66382D02"/>
    <w:rsid w:val="68596B1A"/>
    <w:rsid w:val="7A1721ED"/>
    <w:rsid w:val="7A29730E"/>
    <w:rsid w:val="7BD02E41"/>
    <w:rsid w:val="7E933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1781</Words>
  <Characters>1810</Characters>
  <Lines>14</Lines>
  <Paragraphs>4</Paragraphs>
  <TotalTime>7</TotalTime>
  <ScaleCrop>false</ScaleCrop>
  <LinksUpToDate>false</LinksUpToDate>
  <CharactersWithSpaces>1974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2018-03-16T07:08:00Z</dcterms:created>
  <dc:creator>lenovo</dc:creator>
  <cp:lastModifiedBy>admin</cp:lastModifiedBy>
  <dcterms:modified xsi:type="dcterms:W3CDTF">2025-08-29T09:44:59Z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0021CCF2F31F4CA3BAEBF5BB1F288B4B</vt:lpwstr>
  </property>
  <property fmtid="{D5CDD505-2E9C-101B-9397-08002B2CF9AE}" pid="4" name="KSOTemplateDocerSaveRecord">
    <vt:lpwstr>eyJoZGlkIjoiYWVlZGNiYzg2NGEwZDU0YzU5ZWE5MTBhZTY4ZjgwM2YifQ==</vt:lpwstr>
  </property>
</Properties>
</file>